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ED" w:rsidRDefault="001D4541">
      <w:pPr>
        <w:rPr>
          <w:b/>
        </w:rPr>
      </w:pPr>
      <w:r>
        <w:rPr>
          <w:b/>
        </w:rPr>
        <w:t>F</w:t>
      </w:r>
      <w:r w:rsidR="00183900">
        <w:rPr>
          <w:b/>
        </w:rPr>
        <w:t>inal Exa</w:t>
      </w:r>
      <w:r w:rsidR="00D70175">
        <w:rPr>
          <w:b/>
        </w:rPr>
        <w:t>m is Tuesday, December 13</w:t>
      </w:r>
      <w:bookmarkStart w:id="0" w:name="_GoBack"/>
      <w:bookmarkEnd w:id="0"/>
      <w:r w:rsidR="00385295">
        <w:rPr>
          <w:b/>
        </w:rPr>
        <w:t xml:space="preserve"> from 10:30 – 12:30</w:t>
      </w:r>
      <w:r w:rsidR="003734ED">
        <w:rPr>
          <w:b/>
        </w:rPr>
        <w:t>.  Arrive early.  The fina</w:t>
      </w:r>
      <w:r w:rsidR="00385295">
        <w:rPr>
          <w:b/>
        </w:rPr>
        <w:t xml:space="preserve">l is comprehensive.  </w:t>
      </w:r>
      <w:r w:rsidR="00014DE6">
        <w:rPr>
          <w:b/>
        </w:rPr>
        <w:t>Do not forget to bring your calculator!!!  And extra batteries.</w:t>
      </w:r>
    </w:p>
    <w:p w:rsidR="00596D38" w:rsidRDefault="00385295">
      <w:r>
        <w:t>Chapter 25</w:t>
      </w:r>
      <w:r w:rsidR="000B6EEE">
        <w:t xml:space="preserve"> – The Chi – squared test – class notes</w:t>
      </w:r>
    </w:p>
    <w:p w:rsidR="000B6EEE" w:rsidRDefault="00BA6927" w:rsidP="000B6EEE">
      <w:pPr>
        <w:pStyle w:val="NoSpacing"/>
        <w:rPr>
          <w:rFonts w:eastAsiaTheme="minorEastAsia"/>
        </w:rPr>
      </w:pPr>
      <w:r>
        <w:t>In Chapter 23</w:t>
      </w:r>
      <w:r w:rsidR="00315CF9">
        <w:t xml:space="preserve">, you learned how to compare proportions of successes in two groups using two – sample </w:t>
      </w:r>
      <m:oMath>
        <m:r>
          <w:rPr>
            <w:rFonts w:ascii="Cambria Math" w:hAnsi="Cambria Math"/>
          </w:rPr>
          <m:t>z</m:t>
        </m:r>
      </m:oMath>
      <w:r>
        <w:rPr>
          <w:rFonts w:eastAsiaTheme="minorEastAsia"/>
        </w:rPr>
        <w:t xml:space="preserve"> procedures.  In Chapter 25</w:t>
      </w:r>
      <w:r w:rsidR="00315CF9">
        <w:rPr>
          <w:rFonts w:eastAsiaTheme="minorEastAsia"/>
        </w:rPr>
        <w:t xml:space="preserve">, you will look at the relationship between two categorical variables.  You may need to review Chapter 6 where you learned about </w:t>
      </w:r>
      <w:r w:rsidR="00315CF9" w:rsidRPr="00315CF9">
        <w:rPr>
          <w:rFonts w:eastAsiaTheme="minorEastAsia"/>
          <w:b/>
        </w:rPr>
        <w:t>two – way tables</w:t>
      </w:r>
      <w:r w:rsidR="00315CF9">
        <w:rPr>
          <w:rFonts w:eastAsiaTheme="minorEastAsia"/>
        </w:rPr>
        <w:t>.</w:t>
      </w:r>
    </w:p>
    <w:p w:rsidR="00315CF9" w:rsidRDefault="00315CF9" w:rsidP="000B6EEE">
      <w:pPr>
        <w:pStyle w:val="NoSpacing"/>
        <w:rPr>
          <w:rFonts w:eastAsiaTheme="minorEastAsia"/>
        </w:rPr>
      </w:pPr>
    </w:p>
    <w:p w:rsidR="00315CF9" w:rsidRDefault="000943D3" w:rsidP="000B6EEE">
      <w:pPr>
        <w:pStyle w:val="NoSpacing"/>
        <w:rPr>
          <w:rFonts w:eastAsiaTheme="minorEastAsia"/>
        </w:rPr>
      </w:pPr>
      <w:r w:rsidRPr="000943D3">
        <w:rPr>
          <w:rFonts w:eastAsiaTheme="minorEastAsia"/>
          <w:b/>
        </w:rPr>
        <w:t>Null hypothesis</w:t>
      </w:r>
      <w:r>
        <w:rPr>
          <w:rFonts w:eastAsiaTheme="minorEastAsia"/>
        </w:rPr>
        <w:t>:  There is no association between variables.  In other words, the variables are independent.  This means that the columns have the same % breakdown and the rows have the same percentage breakdown.</w:t>
      </w:r>
    </w:p>
    <w:p w:rsidR="000943D3" w:rsidRDefault="000943D3" w:rsidP="000B6EEE">
      <w:pPr>
        <w:pStyle w:val="NoSpacing"/>
        <w:rPr>
          <w:rFonts w:eastAsiaTheme="minorEastAsia"/>
        </w:rPr>
      </w:pPr>
    </w:p>
    <w:p w:rsidR="000943D3" w:rsidRDefault="000943D3" w:rsidP="000B6EEE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Alternative hypothesis:  </w:t>
      </w:r>
      <w:r>
        <w:rPr>
          <w:rFonts w:eastAsiaTheme="minorEastAsia"/>
        </w:rPr>
        <w:t>There is an association between the variables.  However, we do not specify what that association is.</w:t>
      </w:r>
      <w:r w:rsidR="00122CE3">
        <w:rPr>
          <w:rFonts w:eastAsiaTheme="minorEastAsia"/>
        </w:rPr>
        <w:t xml:space="preserve">  So the alternative hypothesis is not one – sided or two – sided.  It can be viewed as many – sided because it allows for any difference. </w:t>
      </w:r>
    </w:p>
    <w:p w:rsidR="00122CE3" w:rsidRDefault="00122CE3" w:rsidP="000B6EEE">
      <w:pPr>
        <w:pStyle w:val="NoSpacing"/>
        <w:rPr>
          <w:rFonts w:eastAsiaTheme="minorEastAsia"/>
        </w:rPr>
      </w:pPr>
    </w:p>
    <w:p w:rsidR="00122CE3" w:rsidRDefault="00642581" w:rsidP="000B6EEE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To test the null hypothesis, we compare the observed </w:t>
      </w:r>
      <w:r w:rsidR="0071712C">
        <w:rPr>
          <w:rFonts w:eastAsiaTheme="minorEastAsia"/>
        </w:rPr>
        <w:t>counts with expected counts.  If the observed counts are fa</w:t>
      </w:r>
      <w:r w:rsidR="009626E9">
        <w:rPr>
          <w:rFonts w:eastAsiaTheme="minorEastAsia"/>
        </w:rPr>
        <w:t>r from the expected counts you have</w:t>
      </w:r>
      <w:r w:rsidR="0071712C">
        <w:rPr>
          <w:rFonts w:eastAsiaTheme="minorEastAsia"/>
        </w:rPr>
        <w:t xml:space="preserve"> evidence against the null hypothesis.</w:t>
      </w:r>
      <w:r w:rsidR="00A44D4A">
        <w:rPr>
          <w:rFonts w:eastAsiaTheme="minorEastAsia"/>
        </w:rPr>
        <w:t xml:space="preserve">  </w:t>
      </w:r>
    </w:p>
    <w:p w:rsidR="0071712C" w:rsidRDefault="0071712C" w:rsidP="000B6EEE">
      <w:pPr>
        <w:pStyle w:val="NoSpacing"/>
        <w:rPr>
          <w:rFonts w:eastAsiaTheme="minorEastAsia"/>
        </w:rPr>
      </w:pPr>
    </w:p>
    <w:p w:rsidR="00D91E29" w:rsidRDefault="00D91E29" w:rsidP="000B6EEE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To compute the </w:t>
      </w:r>
      <w:r>
        <w:rPr>
          <w:rFonts w:eastAsiaTheme="minorEastAsia"/>
          <w:b/>
        </w:rPr>
        <w:t>expected counts</w:t>
      </w:r>
      <w:r>
        <w:rPr>
          <w:rFonts w:eastAsiaTheme="minorEastAsia"/>
        </w:rPr>
        <w:t>:</w:t>
      </w:r>
      <w:r w:rsidR="003734ED">
        <w:rPr>
          <w:rFonts w:eastAsiaTheme="minorEastAsia"/>
        </w:rPr>
        <w:t xml:space="preserve">   </w:t>
      </w:r>
      <m:oMath>
        <m:r>
          <m:rPr>
            <m:nor/>
          </m:rPr>
          <w:rPr>
            <w:rFonts w:ascii="Cambria Math" w:eastAsiaTheme="minorEastAsia" w:hAnsi="Cambria Math"/>
          </w:rPr>
          <m:t>expected count</m:t>
        </m:r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/>
              </w:rPr>
              <m:t>row total ×column total</m:t>
            </m:r>
          </m:num>
          <m:den>
            <m:r>
              <m:rPr>
                <m:nor/>
              </m:rPr>
              <w:rPr>
                <w:rFonts w:ascii="Cambria Math" w:eastAsiaTheme="minorEastAsia" w:hAnsi="Cambria Math"/>
              </w:rPr>
              <m:t>table total</m:t>
            </m:r>
          </m:den>
        </m:f>
      </m:oMath>
      <w:r>
        <w:rPr>
          <w:rFonts w:eastAsiaTheme="minorEastAsia"/>
        </w:rPr>
        <w:t xml:space="preserve"> </w:t>
      </w:r>
    </w:p>
    <w:p w:rsidR="00D91E29" w:rsidRDefault="00D91E29" w:rsidP="000B6EEE">
      <w:pPr>
        <w:pStyle w:val="NoSpacing"/>
        <w:rPr>
          <w:rFonts w:eastAsiaTheme="minorEastAsia"/>
        </w:rPr>
      </w:pPr>
    </w:p>
    <w:p w:rsidR="00F95490" w:rsidRPr="001A78F7" w:rsidRDefault="00F95490" w:rsidP="00F95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Chi-Square Test S</w:t>
      </w:r>
      <w:r w:rsidRPr="001A78F7">
        <w:rPr>
          <w:b/>
        </w:rPr>
        <w:t>tatistic</w:t>
      </w:r>
    </w:p>
    <w:p w:rsidR="00F95490" w:rsidRPr="001828DF" w:rsidRDefault="009B2AED" w:rsidP="00F95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observed count-expected count)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expected count</m:t>
                  </m:r>
                </m:den>
              </m:f>
            </m:e>
          </m:nary>
        </m:oMath>
      </m:oMathPara>
    </w:p>
    <w:p w:rsidR="00F95490" w:rsidRDefault="00F95490" w:rsidP="00F95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929D2">
        <w:t>With</w:t>
      </w:r>
      <w:r>
        <w:t xml:space="preserve"> </w:t>
      </w:r>
      <m:oMath>
        <m:r>
          <w:rPr>
            <w:rFonts w:ascii="Cambria Math" w:hAnsi="Cambria Math"/>
          </w:rPr>
          <m:t>df=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# </m:t>
            </m:r>
            <m:r>
              <m:rPr>
                <m:sty m:val="p"/>
              </m:rPr>
              <w:rPr>
                <w:rFonts w:ascii="Cambria Math" w:hAnsi="Cambria Math"/>
              </w:rPr>
              <m:t>rows</m:t>
            </m:r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(# </m:t>
        </m:r>
        <m:r>
          <m:rPr>
            <m:sty m:val="p"/>
          </m:rPr>
          <w:rPr>
            <w:rFonts w:ascii="Cambria Math" w:hAnsi="Cambria Math"/>
          </w:rPr>
          <m:t>cols</m:t>
        </m:r>
        <m:r>
          <w:rPr>
            <w:rFonts w:ascii="Cambria Math" w:hAnsi="Cambria Math"/>
          </w:rPr>
          <m:t>-1)</m:t>
        </m:r>
      </m:oMath>
      <w:r w:rsidRPr="007929D2">
        <w:t xml:space="preserve"> </w:t>
      </w:r>
      <w:r w:rsidRPr="007929D2">
        <w:tab/>
      </w:r>
    </w:p>
    <w:p w:rsidR="00A44D4A" w:rsidRPr="00A44D4A" w:rsidRDefault="00A44D4A" w:rsidP="00A44D4A">
      <w:pPr>
        <w:pStyle w:val="NoSpacing"/>
      </w:pPr>
      <w:r w:rsidRPr="00A44D4A">
        <w:rPr>
          <w:rFonts w:eastAsiaTheme="minorEastAsia"/>
        </w:rPr>
        <w:t xml:space="preserve">We can see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≥</m:t>
        </m:r>
        <m:r>
          <w:rPr>
            <w:rFonts w:ascii="Cambria Math"/>
          </w:rPr>
          <m:t>0.</m:t>
        </m:r>
      </m:oMath>
      <w:r w:rsidRPr="00A44D4A"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Think</w:t>
      </w:r>
      <w:proofErr w:type="gramEnd"/>
      <w:r>
        <w:rPr>
          <w:rFonts w:eastAsiaTheme="minorEastAsia"/>
        </w:rPr>
        <w:t xml:space="preserve">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rFonts w:eastAsiaTheme="minorEastAsia"/>
        </w:rPr>
        <w:t xml:space="preserve"> as a measure of the distance of the observed counts from the expected counts.  </w:t>
      </w:r>
      <w:r w:rsidRPr="00A44D4A">
        <w:t xml:space="preserve">Note that when there is an association between variables, the observed and expected counts are further apart, so we are going to get large values </w:t>
      </w:r>
      <w:proofErr w:type="gramStart"/>
      <w:r w:rsidRPr="00A44D4A">
        <w:t xml:space="preserve">of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 w:rsidRPr="00A44D4A">
        <w:t>.  Thus</w:t>
      </w:r>
    </w:p>
    <w:p w:rsidR="00A44D4A" w:rsidRDefault="00A44D4A" w:rsidP="00A44D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A44D4A">
        <w:rPr>
          <w:rFonts w:asciiTheme="minorHAnsi" w:hAnsiTheme="minorHAnsi"/>
        </w:rPr>
        <w:t xml:space="preserve">Large values of </w:t>
      </w:r>
      <m:oMath>
        <m:sSup>
          <m:sSupPr>
            <m:ctrlPr>
              <w:rPr>
                <w:rFonts w:ascii="Cambria Math" w:hAnsiTheme="minorHAnsi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Theme="minorHAnsi"/>
              </w:rPr>
              <m:t>2</m:t>
            </m:r>
          </m:sup>
        </m:sSup>
      </m:oMath>
      <w:r w:rsidR="007B0F9B">
        <w:rPr>
          <w:rFonts w:asciiTheme="minorHAnsi" w:hAnsiTheme="minorHAnsi"/>
        </w:rPr>
        <w:t xml:space="preserve"> are evidence against the null hypothesis because they say that the observed counts are far from what we expect 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B0F9B">
        <w:rPr>
          <w:rFonts w:asciiTheme="minorHAnsi" w:hAnsiTheme="minorHAnsi"/>
        </w:rPr>
        <w:t xml:space="preserve"> is true.</w:t>
      </w:r>
    </w:p>
    <w:p w:rsidR="00A44D4A" w:rsidRPr="003D1607" w:rsidRDefault="00A44D4A" w:rsidP="00A44D4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A44D4A">
        <w:rPr>
          <w:rFonts w:asciiTheme="minorHAnsi" w:hAnsiTheme="minorHAnsi"/>
        </w:rPr>
        <w:t xml:space="preserve">Conversely, if there is no association, the expected and observed counts are similar (they may not be identical because of random variation), so we get a small value </w:t>
      </w:r>
      <w:proofErr w:type="gramStart"/>
      <w:r w:rsidRPr="00A44D4A">
        <w:rPr>
          <w:rFonts w:asciiTheme="minorHAnsi" w:hAnsiTheme="minorHAnsi"/>
        </w:rPr>
        <w:t xml:space="preserve">of </w:t>
      </w:r>
      <w:proofErr w:type="gramEnd"/>
      <m:oMath>
        <m:sSup>
          <m:sSupPr>
            <m:ctrlPr>
              <w:rPr>
                <w:rFonts w:ascii="Cambria Math" w:hAnsiTheme="minorHAnsi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Theme="minorHAnsi"/>
              </w:rPr>
              <m:t>2</m:t>
            </m:r>
          </m:sup>
        </m:sSup>
      </m:oMath>
      <w:r w:rsidRPr="00A44D4A">
        <w:rPr>
          <w:rFonts w:asciiTheme="minorHAnsi" w:hAnsiTheme="minorHAnsi"/>
        </w:rPr>
        <w:t xml:space="preserve">. </w:t>
      </w:r>
      <w:r w:rsidR="007B0F9B">
        <w:t xml:space="preserve">Small values of </w:t>
      </w:r>
      <m:oMath>
        <m:sSup>
          <m:sSupPr>
            <m:ctrlPr>
              <w:rPr>
                <w:rFonts w:ascii="Cambria Math" w:hAnsiTheme="minorHAnsi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Theme="minorHAnsi"/>
              </w:rPr>
              <m:t>2</m:t>
            </m:r>
          </m:sup>
        </m:sSup>
      </m:oMath>
      <w:r w:rsidR="007B0F9B" w:rsidRPr="007B0F9B">
        <w:rPr>
          <w:rFonts w:eastAsiaTheme="minorEastAsia"/>
        </w:rPr>
        <w:t xml:space="preserve"> are not evi</w:t>
      </w:r>
      <w:r w:rsidR="00CD0E88">
        <w:rPr>
          <w:rFonts w:eastAsiaTheme="minorEastAsia"/>
        </w:rPr>
        <w:t>dence</w:t>
      </w:r>
      <w:r w:rsidR="007B0F9B" w:rsidRPr="007B0F9B">
        <w:rPr>
          <w:rFonts w:eastAsiaTheme="minorEastAsia"/>
        </w:rPr>
        <w:t xml:space="preserve"> against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</m:oMath>
    </w:p>
    <w:p w:rsidR="003D1607" w:rsidRDefault="003D1607" w:rsidP="003D1607">
      <w:pPr>
        <w:spacing w:after="0" w:line="240" w:lineRule="auto"/>
      </w:pPr>
    </w:p>
    <w:p w:rsidR="00315680" w:rsidRDefault="006C2EB3" w:rsidP="003D1607">
      <w:pPr>
        <w:spacing w:after="0" w:line="240" w:lineRule="auto"/>
        <w:rPr>
          <w:rFonts w:eastAsiaTheme="minorEastAsia"/>
        </w:rPr>
      </w:pPr>
      <w:r>
        <w:t xml:space="preserve">To calculate </w:t>
      </w:r>
      <m:oMath>
        <m:r>
          <w:rPr>
            <w:rFonts w:ascii="Cambria Math" w:hAnsi="Cambria Math"/>
          </w:rPr>
          <m:t>P-</m:t>
        </m:r>
      </m:oMath>
      <w:r w:rsidR="00315680">
        <w:rPr>
          <w:rFonts w:eastAsiaTheme="minorEastAsia"/>
        </w:rPr>
        <w:t xml:space="preserve"> values, you can use your calculator: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cdf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 b, df</m:t>
            </m:r>
          </m:e>
        </m:d>
      </m:oMath>
      <w:r w:rsidR="00315680">
        <w:rPr>
          <w:rFonts w:eastAsiaTheme="minorEastAsia"/>
        </w:rPr>
        <w:t xml:space="preserve"> is under Distribution</w:t>
      </w:r>
      <w:r w:rsidR="00A5637C">
        <w:rPr>
          <w:rFonts w:eastAsiaTheme="minorEastAsia"/>
        </w:rPr>
        <w:t xml:space="preserve"> or</w:t>
      </w:r>
      <w:r w:rsidR="009626E9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-Test</m:t>
        </m:r>
      </m:oMath>
      <w:r w:rsidR="00A5637C">
        <w:rPr>
          <w:rFonts w:eastAsiaTheme="minorEastAsia"/>
        </w:rPr>
        <w:t xml:space="preserve"> </w:t>
      </w:r>
      <w:r w:rsidR="009626E9">
        <w:rPr>
          <w:rFonts w:eastAsiaTheme="minorEastAsia"/>
        </w:rPr>
        <w:t>under Stats and then look in the test menu.</w:t>
      </w:r>
    </w:p>
    <w:p w:rsidR="00315680" w:rsidRDefault="00315680" w:rsidP="003D1607">
      <w:pPr>
        <w:spacing w:after="0" w:line="240" w:lineRule="auto"/>
        <w:rPr>
          <w:rFonts w:eastAsiaTheme="minorEastAsia"/>
        </w:rPr>
      </w:pPr>
    </w:p>
    <w:p w:rsidR="00315680" w:rsidRDefault="00315680" w:rsidP="00315680">
      <w:r>
        <w:t xml:space="preserve">Practice with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distribution:</w:t>
      </w:r>
    </w:p>
    <w:p w:rsidR="00315680" w:rsidRDefault="00315680" w:rsidP="00315680">
      <w:pPr>
        <w:pStyle w:val="ListParagraph"/>
        <w:numPr>
          <w:ilvl w:val="0"/>
          <w:numId w:val="2"/>
        </w:numPr>
      </w:pPr>
      <w:r>
        <w:t xml:space="preserve"> A 2 by 2 table (means 2 rows and 2 columns) with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=1.0</m:t>
        </m:r>
      </m:oMath>
      <w:r w:rsidR="00F31953">
        <w:t xml:space="preserve"> : </w:t>
      </w:r>
      <w:proofErr w:type="spellStart"/>
      <w:r w:rsidR="00F31953">
        <w:t>df</w:t>
      </w:r>
      <w:proofErr w:type="spellEnd"/>
      <w:r w:rsidR="00F31953">
        <w:t xml:space="preserve"> = 1, </w:t>
      </w:r>
      <w:r>
        <w:t xml:space="preserve"> P-value from calculator=________,    P-value from table</w:t>
      </w:r>
      <w:r w:rsidR="00475302">
        <w:t xml:space="preserve"> </w:t>
      </w:r>
      <w:r>
        <w:t>=__</w:t>
      </w:r>
      <w:r w:rsidR="00475302">
        <w:t xml:space="preserve"> </w:t>
      </w:r>
      <w:proofErr w:type="spellStart"/>
      <w:r>
        <w:t>Pvalue</w:t>
      </w:r>
      <w:proofErr w:type="spellEnd"/>
      <w:r w:rsidR="00475302">
        <w:t xml:space="preserve"> </w:t>
      </w:r>
      <w:r>
        <w:t>&gt;</w:t>
      </w:r>
      <w:r w:rsidR="00475302">
        <w:t xml:space="preserve"> </w:t>
      </w:r>
      <w:r>
        <w:t>0.25_______</w:t>
      </w:r>
    </w:p>
    <w:p w:rsidR="00315680" w:rsidRDefault="00315680" w:rsidP="00315680">
      <w:pPr>
        <w:pStyle w:val="ListParagraph"/>
        <w:ind w:left="720"/>
      </w:pPr>
    </w:p>
    <w:p w:rsidR="00315680" w:rsidRPr="006E252F" w:rsidRDefault="00315680" w:rsidP="00315680">
      <w:pPr>
        <w:pStyle w:val="ListParagraph"/>
        <w:numPr>
          <w:ilvl w:val="0"/>
          <w:numId w:val="2"/>
        </w:numPr>
      </w:pPr>
      <w:r>
        <w:lastRenderedPageBreak/>
        <w:t xml:space="preserve">A 2 by 2 table (means 2 rows and 2 columns) with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=12.0</m:t>
        </m:r>
      </m:oMath>
      <w:r w:rsidR="00F31953">
        <w:t xml:space="preserve"> : </w:t>
      </w:r>
      <w:proofErr w:type="spellStart"/>
      <w:r w:rsidR="00F31953">
        <w:t>df</w:t>
      </w:r>
      <w:proofErr w:type="spellEnd"/>
      <w:r w:rsidR="00F31953">
        <w:t xml:space="preserve"> = 1, </w:t>
      </w:r>
      <w:r>
        <w:t xml:space="preserve"> </w:t>
      </w:r>
      <w:proofErr w:type="spellStart"/>
      <w:r>
        <w:t>Pvalue</w:t>
      </w:r>
      <w:proofErr w:type="spellEnd"/>
      <w:r>
        <w:t xml:space="preserve"> from calculator=________, p value from table:</w:t>
      </w:r>
      <w:r w:rsidR="00F31953">
        <w:t xml:space="preserve"> 0</w:t>
      </w:r>
      <w:r>
        <w:t xml:space="preserve"> .0005</w:t>
      </w:r>
      <w:r w:rsidR="00A14AEA">
        <w:t xml:space="preserve"> </w:t>
      </w:r>
      <w:r>
        <w:t>&lt;</w:t>
      </w:r>
      <w:r w:rsidR="00A14AEA">
        <w:t xml:space="preserve"> </w:t>
      </w:r>
      <w:proofErr w:type="spellStart"/>
      <w:r>
        <w:t>pvalue</w:t>
      </w:r>
      <w:proofErr w:type="spellEnd"/>
      <w:r w:rsidR="00A14AEA">
        <w:t xml:space="preserve"> </w:t>
      </w:r>
      <w:r>
        <w:t>&lt;</w:t>
      </w:r>
      <w:r w:rsidR="00A14AEA">
        <w:t xml:space="preserve"> </w:t>
      </w:r>
      <w:r w:rsidR="00F31953">
        <w:t>0</w:t>
      </w:r>
      <w:r>
        <w:t>.001</w:t>
      </w:r>
    </w:p>
    <w:p w:rsidR="00315680" w:rsidRDefault="00315680" w:rsidP="00315680">
      <w:pPr>
        <w:pStyle w:val="ListParagraph"/>
        <w:numPr>
          <w:ilvl w:val="0"/>
          <w:numId w:val="2"/>
        </w:numPr>
      </w:pPr>
      <w:r>
        <w:t xml:space="preserve">A 3x3 table with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=5.45</m:t>
        </m:r>
      </m:oMath>
      <w:r w:rsidR="00F31953">
        <w:t xml:space="preserve">  </w:t>
      </w:r>
      <w:proofErr w:type="spellStart"/>
      <w:r w:rsidR="00F31953">
        <w:t>df</w:t>
      </w:r>
      <w:proofErr w:type="spellEnd"/>
      <w:r w:rsidR="00F31953">
        <w:t xml:space="preserve"> =___________</w:t>
      </w:r>
      <w:r>
        <w:t xml:space="preserve">   </w:t>
      </w:r>
      <w:proofErr w:type="spellStart"/>
      <w:r>
        <w:t>Pvalue</w:t>
      </w:r>
      <w:proofErr w:type="spellEnd"/>
      <w:r>
        <w:t xml:space="preserve"> from calculator =_________</w:t>
      </w:r>
    </w:p>
    <w:p w:rsidR="003D1607" w:rsidRPr="003D1607" w:rsidRDefault="00315680" w:rsidP="00A5637C">
      <w:pPr>
        <w:pStyle w:val="ListParagraph"/>
        <w:numPr>
          <w:ilvl w:val="0"/>
          <w:numId w:val="2"/>
        </w:numPr>
      </w:pPr>
      <w:r>
        <w:t xml:space="preserve">A 3x8 table with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=30.55 </m:t>
        </m:r>
      </m:oMath>
      <w:r w:rsidR="00F31953">
        <w:t xml:space="preserve"> df =___________  </w:t>
      </w:r>
      <w:r>
        <w:t>P-value from calculator</w:t>
      </w:r>
      <w:r w:rsidR="00F31953">
        <w:t xml:space="preserve"> </w:t>
      </w:r>
      <w:r>
        <w:t>=_________</w:t>
      </w:r>
    </w:p>
    <w:p w:rsidR="000943D3" w:rsidRDefault="003D1607" w:rsidP="000B6EEE">
      <w:pPr>
        <w:pStyle w:val="NoSpacing"/>
        <w:rPr>
          <w:rFonts w:eastAsiaTheme="minorEastAsia"/>
          <w:b/>
        </w:rPr>
      </w:pPr>
      <w:r>
        <w:rPr>
          <w:rFonts w:eastAsiaTheme="minorEastAsia"/>
        </w:rPr>
        <w:t>Example:  Vitamin A is often given to young children in developing countries to prevent night blindness.  It is ob</w:t>
      </w:r>
      <w:r w:rsidR="00422A8F">
        <w:rPr>
          <w:rFonts w:eastAsiaTheme="minorEastAsia"/>
        </w:rPr>
        <w:t>served that children receiving V</w:t>
      </w:r>
      <w:r>
        <w:rPr>
          <w:rFonts w:eastAsiaTheme="minorEastAsia"/>
        </w:rPr>
        <w:t>itamin A appear to have reduced death rates.  One year after the start of the study in this area, the number of children w</w:t>
      </w:r>
      <w:r w:rsidR="000E537B">
        <w:rPr>
          <w:rFonts w:eastAsiaTheme="minorEastAsia"/>
        </w:rPr>
        <w:t>ho died</w:t>
      </w:r>
      <w:r>
        <w:rPr>
          <w:rFonts w:eastAsiaTheme="minorEastAsia"/>
        </w:rPr>
        <w:t xml:space="preserve"> was determined.  This information is given in the following two by two </w:t>
      </w:r>
      <w:proofErr w:type="gramStart"/>
      <w:r>
        <w:rPr>
          <w:rFonts w:eastAsiaTheme="minorEastAsia"/>
        </w:rPr>
        <w:t>table</w:t>
      </w:r>
      <w:proofErr w:type="gramEnd"/>
      <w:r>
        <w:rPr>
          <w:rFonts w:eastAsiaTheme="minorEastAsia"/>
        </w:rPr>
        <w:t xml:space="preserve">.  I have added in the totals for each to make the calculations faster.  </w:t>
      </w:r>
      <w:r>
        <w:rPr>
          <w:rFonts w:eastAsiaTheme="minorEastAsia"/>
          <w:b/>
        </w:rPr>
        <w:t>Complete the 4 step of the hypothesis test.</w:t>
      </w:r>
    </w:p>
    <w:p w:rsidR="003D1607" w:rsidRDefault="003D1607" w:rsidP="000B6EEE">
      <w:pPr>
        <w:pStyle w:val="NoSpacing"/>
        <w:rPr>
          <w:rFonts w:eastAsiaTheme="minorEastAs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090"/>
        <w:gridCol w:w="2832"/>
        <w:gridCol w:w="774"/>
      </w:tblGrid>
      <w:tr w:rsidR="003D1607" w:rsidTr="003D1607"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 w:rsidRPr="00422A8F">
              <w:rPr>
                <w:rFonts w:eastAsiaTheme="minorEastAsia"/>
              </w:rPr>
              <w:t>Survive?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 w:rsidRPr="00422A8F">
              <w:rPr>
                <w:rFonts w:eastAsiaTheme="minorEastAsia"/>
              </w:rPr>
              <w:t>Vitamin A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Control Group (no V</w:t>
            </w:r>
            <w:r w:rsidRPr="00422A8F">
              <w:rPr>
                <w:rFonts w:eastAsiaTheme="minorEastAsia"/>
              </w:rPr>
              <w:t>itamin A)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 w:rsidRPr="00422A8F">
              <w:rPr>
                <w:rFonts w:eastAsiaTheme="minorEastAsia"/>
              </w:rPr>
              <w:t>total</w:t>
            </w:r>
          </w:p>
        </w:tc>
      </w:tr>
      <w:tr w:rsidR="003D1607" w:rsidTr="003D1607"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Did not survive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101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130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231</w:t>
            </w:r>
          </w:p>
        </w:tc>
      </w:tr>
      <w:tr w:rsidR="003D1607" w:rsidTr="003D1607"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Survived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12890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12079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24969</w:t>
            </w:r>
          </w:p>
        </w:tc>
      </w:tr>
      <w:tr w:rsidR="003D1607" w:rsidTr="003D1607"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total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12991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12209</w:t>
            </w:r>
          </w:p>
        </w:tc>
        <w:tc>
          <w:tcPr>
            <w:tcW w:w="0" w:type="auto"/>
          </w:tcPr>
          <w:p w:rsidR="003D1607" w:rsidRP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25200</w:t>
            </w:r>
          </w:p>
        </w:tc>
      </w:tr>
    </w:tbl>
    <w:p w:rsidR="003D1607" w:rsidRPr="003D1607" w:rsidRDefault="003D1607" w:rsidP="000B6EEE">
      <w:pPr>
        <w:pStyle w:val="NoSpacing"/>
        <w:rPr>
          <w:rFonts w:eastAsiaTheme="minorEastAsia"/>
          <w:b/>
        </w:rPr>
      </w:pPr>
    </w:p>
    <w:p w:rsidR="00422A8F" w:rsidRDefault="00422A8F" w:rsidP="000B6EEE">
      <w:pPr>
        <w:pStyle w:val="NoSpacing"/>
        <w:rPr>
          <w:rFonts w:eastAsiaTheme="minorEastAsia"/>
        </w:rPr>
      </w:pPr>
      <w:r w:rsidRPr="00422A8F">
        <w:rPr>
          <w:rFonts w:eastAsiaTheme="minorEastAsia"/>
          <w:b/>
        </w:rPr>
        <w:t>Step 1</w:t>
      </w:r>
      <w:r>
        <w:rPr>
          <w:rFonts w:eastAsiaTheme="minorEastAsia"/>
        </w:rPr>
        <w:t>:</w:t>
      </w:r>
    </w:p>
    <w:p w:rsidR="003D1607" w:rsidRDefault="00422A8F" w:rsidP="000B6EEE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:  </w:t>
      </w:r>
      <w:r w:rsidR="004367AF">
        <w:rPr>
          <w:rFonts w:eastAsiaTheme="minorEastAsia"/>
        </w:rPr>
        <w:t xml:space="preserve"> </w:t>
      </w:r>
      <w:r>
        <w:rPr>
          <w:rFonts w:eastAsiaTheme="minorEastAsia"/>
        </w:rPr>
        <w:t>There is no association between survival and Vitamin A treatment</w:t>
      </w:r>
    </w:p>
    <w:p w:rsidR="00422A8F" w:rsidRDefault="009B2AED" w:rsidP="000B6EEE">
      <w:pPr>
        <w:pStyle w:val="NoSpacing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H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:</m:t>
        </m:r>
      </m:oMath>
      <w:r w:rsidR="00422A8F">
        <w:rPr>
          <w:rFonts w:eastAsiaTheme="minorEastAsia"/>
        </w:rPr>
        <w:t xml:space="preserve">   There is an association between survival and Vitamin A treatment</w:t>
      </w:r>
    </w:p>
    <w:p w:rsidR="00422A8F" w:rsidRDefault="00422A8F" w:rsidP="000B6EEE">
      <w:pPr>
        <w:pStyle w:val="NoSpacing"/>
        <w:rPr>
          <w:rFonts w:eastAsiaTheme="minorEastAsia"/>
        </w:rPr>
      </w:pPr>
    </w:p>
    <w:p w:rsidR="00422A8F" w:rsidRDefault="00422A8F" w:rsidP="000B6EEE">
      <w:pPr>
        <w:pStyle w:val="NoSpacing"/>
        <w:rPr>
          <w:rFonts w:eastAsiaTheme="minorEastAsia"/>
        </w:rPr>
      </w:pPr>
      <w:r w:rsidRPr="00422A8F">
        <w:rPr>
          <w:rFonts w:eastAsiaTheme="minorEastAsia"/>
          <w:b/>
        </w:rPr>
        <w:t>Step 2:</w:t>
      </w:r>
      <w:r>
        <w:rPr>
          <w:rFonts w:eastAsiaTheme="minorEastAsia"/>
        </w:rPr>
        <w:t xml:space="preserve">  Calculate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/>
              </w:rPr>
              <m:t>2</m:t>
            </m:r>
          </m:sup>
        </m:sSup>
      </m:oMath>
    </w:p>
    <w:p w:rsidR="009E06CB" w:rsidRDefault="009E06CB" w:rsidP="000B6EEE">
      <w:pPr>
        <w:pStyle w:val="NoSpacing"/>
        <w:rPr>
          <w:rFonts w:eastAsiaTheme="minorEastAsia"/>
        </w:rPr>
      </w:pPr>
    </w:p>
    <w:p w:rsidR="00422A8F" w:rsidRDefault="009E06CB" w:rsidP="000B6EEE">
      <w:pPr>
        <w:pStyle w:val="NoSpacing"/>
        <w:rPr>
          <w:rFonts w:eastAsiaTheme="minorEastAsia"/>
        </w:rPr>
      </w:pPr>
      <w:r>
        <w:rPr>
          <w:rFonts w:eastAsiaTheme="minorEastAsia"/>
        </w:rPr>
        <w:t>Observed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774"/>
        <w:gridCol w:w="882"/>
      </w:tblGrid>
      <w:tr w:rsidR="00422A8F" w:rsidTr="00422A8F"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Control</w:t>
            </w:r>
          </w:p>
        </w:tc>
      </w:tr>
      <w:tr w:rsidR="00422A8F" w:rsidTr="00422A8F"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DNS</w:t>
            </w:r>
          </w:p>
        </w:tc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101</w:t>
            </w:r>
          </w:p>
        </w:tc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130</w:t>
            </w:r>
          </w:p>
        </w:tc>
      </w:tr>
      <w:tr w:rsidR="00422A8F" w:rsidTr="00422A8F"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S</w:t>
            </w:r>
          </w:p>
        </w:tc>
        <w:tc>
          <w:tcPr>
            <w:tcW w:w="0" w:type="auto"/>
          </w:tcPr>
          <w:p w:rsidR="00422A8F" w:rsidRDefault="00422A8F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12890</w:t>
            </w:r>
          </w:p>
        </w:tc>
        <w:tc>
          <w:tcPr>
            <w:tcW w:w="0" w:type="auto"/>
          </w:tcPr>
          <w:p w:rsidR="00422A8F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12079</w:t>
            </w:r>
          </w:p>
        </w:tc>
      </w:tr>
    </w:tbl>
    <w:p w:rsidR="00422A8F" w:rsidRDefault="00422A8F" w:rsidP="000B6EEE">
      <w:pPr>
        <w:pStyle w:val="NoSpacing"/>
        <w:rPr>
          <w:rFonts w:eastAsiaTheme="minorEastAsia"/>
        </w:rPr>
      </w:pPr>
    </w:p>
    <w:p w:rsidR="009E06CB" w:rsidRDefault="00475302" w:rsidP="000B6EEE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Expected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2817"/>
        <w:gridCol w:w="3420"/>
      </w:tblGrid>
      <w:tr w:rsidR="009E06CB" w:rsidTr="00584D32">
        <w:tc>
          <w:tcPr>
            <w:tcW w:w="621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2817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420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Control</w:t>
            </w:r>
          </w:p>
        </w:tc>
      </w:tr>
      <w:tr w:rsidR="009E06CB" w:rsidTr="00584D32">
        <w:tc>
          <w:tcPr>
            <w:tcW w:w="621" w:type="dxa"/>
          </w:tcPr>
          <w:p w:rsidR="009E06CB" w:rsidRDefault="00584D32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DNS</w:t>
            </w:r>
          </w:p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2817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3420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</w:tr>
      <w:tr w:rsidR="009E06CB" w:rsidTr="00584D32">
        <w:tc>
          <w:tcPr>
            <w:tcW w:w="621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S</w:t>
            </w:r>
          </w:p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2817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3420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</w:tr>
    </w:tbl>
    <w:p w:rsidR="009E06CB" w:rsidRDefault="009E06CB" w:rsidP="000B6EEE">
      <w:pPr>
        <w:pStyle w:val="NoSpacing"/>
        <w:rPr>
          <w:rFonts w:eastAsiaTheme="minorEastAsia"/>
        </w:rPr>
      </w:pPr>
    </w:p>
    <w:p w:rsidR="009E06CB" w:rsidRDefault="009B2AED" w:rsidP="000B6EEE">
      <w:pPr>
        <w:pStyle w:val="NoSpacing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Observed-Expected</m:t>
            </m:r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/</m:t>
        </m:r>
        <m:r>
          <m:rPr>
            <m:nor/>
          </m:rPr>
          <w:rPr>
            <w:rFonts w:ascii="Cambria Math" w:eastAsiaTheme="minorEastAsia" w:hAnsi="Cambria Math"/>
          </w:rPr>
          <m:t>Expected</m:t>
        </m:r>
      </m:oMath>
      <w:r w:rsidR="009E06CB">
        <w:rPr>
          <w:rFonts w:eastAsiaTheme="minorEastAs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3743"/>
        <w:gridCol w:w="4680"/>
      </w:tblGrid>
      <w:tr w:rsidR="009E06CB" w:rsidTr="00584D32">
        <w:tc>
          <w:tcPr>
            <w:tcW w:w="0" w:type="auto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3743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4680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Control</w:t>
            </w:r>
          </w:p>
        </w:tc>
      </w:tr>
      <w:tr w:rsidR="009E06CB" w:rsidTr="00584D32">
        <w:tc>
          <w:tcPr>
            <w:tcW w:w="0" w:type="auto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>DNS</w:t>
            </w:r>
          </w:p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3743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4680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</w:tr>
      <w:tr w:rsidR="009E06CB" w:rsidTr="00584D32">
        <w:tc>
          <w:tcPr>
            <w:tcW w:w="0" w:type="auto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S</w:t>
            </w:r>
          </w:p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3743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  <w:tc>
          <w:tcPr>
            <w:tcW w:w="4680" w:type="dxa"/>
          </w:tcPr>
          <w:p w:rsidR="009E06CB" w:rsidRDefault="009E06CB" w:rsidP="000B6EEE">
            <w:pPr>
              <w:pStyle w:val="NoSpacing"/>
              <w:rPr>
                <w:rFonts w:eastAsiaTheme="minorEastAsia"/>
              </w:rPr>
            </w:pPr>
          </w:p>
        </w:tc>
      </w:tr>
    </w:tbl>
    <w:p w:rsidR="009E06CB" w:rsidRDefault="009E06CB" w:rsidP="000B6EEE">
      <w:pPr>
        <w:pStyle w:val="NoSpacing"/>
        <w:rPr>
          <w:rFonts w:eastAsiaTheme="minorEastAsia"/>
        </w:rPr>
      </w:pPr>
    </w:p>
    <w:p w:rsidR="00F4307F" w:rsidRDefault="009B2AED" w:rsidP="000B6EEE">
      <w:pPr>
        <w:pStyle w:val="NoSpacing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observed count-expected count)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expected count</m:t>
                </m:r>
              </m:den>
            </m:f>
          </m:e>
        </m:nary>
      </m:oMath>
      <w:r w:rsidR="00F4307F">
        <w:rPr>
          <w:rFonts w:eastAsiaTheme="minorEastAsia"/>
        </w:rPr>
        <w:t xml:space="preserve"> </w:t>
      </w:r>
    </w:p>
    <w:p w:rsidR="00F4307F" w:rsidRDefault="00F4307F" w:rsidP="000B6EEE">
      <w:pPr>
        <w:pStyle w:val="NoSpacing"/>
        <w:rPr>
          <w:rFonts w:eastAsiaTheme="minorEastAsia"/>
        </w:rPr>
      </w:pPr>
    </w:p>
    <w:p w:rsidR="00F4307F" w:rsidRDefault="00F4307F" w:rsidP="000B6EEE">
      <w:pPr>
        <w:pStyle w:val="NoSpacing"/>
        <w:rPr>
          <w:rFonts w:eastAsiaTheme="minorEastAsia"/>
        </w:rPr>
      </w:pPr>
      <w:r w:rsidRPr="00F4307F">
        <w:rPr>
          <w:rFonts w:eastAsiaTheme="minorEastAsia"/>
          <w:b/>
        </w:rPr>
        <w:t>Step 3:</w:t>
      </w:r>
      <w:r>
        <w:rPr>
          <w:rFonts w:eastAsiaTheme="minorEastAsia"/>
        </w:rPr>
        <w:t xml:space="preserve">  Find the </w:t>
      </w:r>
      <m:oMath>
        <m:r>
          <w:rPr>
            <w:rFonts w:ascii="Cambria Math" w:eastAsiaTheme="minorEastAsia" w:hAnsi="Cambria Math"/>
          </w:rPr>
          <m:t>P-</m:t>
        </m:r>
      </m:oMath>
      <w:r>
        <w:rPr>
          <w:rFonts w:eastAsiaTheme="minorEastAsia"/>
        </w:rPr>
        <w:t xml:space="preserve"> value</w:t>
      </w:r>
    </w:p>
    <w:p w:rsidR="00F4307F" w:rsidRDefault="00F4307F" w:rsidP="000B6EEE">
      <w:pPr>
        <w:pStyle w:val="NoSpacing"/>
        <w:rPr>
          <w:rFonts w:eastAsiaTheme="minorEastAsia"/>
        </w:rPr>
      </w:pPr>
    </w:p>
    <w:p w:rsidR="00315680" w:rsidRDefault="00F4307F" w:rsidP="000B6EEE">
      <w:pPr>
        <w:pStyle w:val="NoSpacing"/>
        <w:rPr>
          <w:rFonts w:eastAsiaTheme="minorEastAsia"/>
        </w:rPr>
      </w:pPr>
      <w:r w:rsidRPr="00F4307F">
        <w:rPr>
          <w:rFonts w:eastAsiaTheme="minorEastAsia"/>
          <w:b/>
        </w:rPr>
        <w:t>Step 4:</w:t>
      </w:r>
      <w:r>
        <w:rPr>
          <w:rFonts w:eastAsiaTheme="minorEastAsia"/>
        </w:rPr>
        <w:t xml:space="preserve">  Conclusion (Use 5% significance level)</w:t>
      </w:r>
    </w:p>
    <w:p w:rsidR="004367AF" w:rsidRDefault="004367AF" w:rsidP="000B6EEE">
      <w:pPr>
        <w:pStyle w:val="NoSpacing"/>
        <w:rPr>
          <w:rFonts w:eastAsiaTheme="minorEastAsia"/>
        </w:rPr>
      </w:pPr>
      <w:r>
        <w:rPr>
          <w:rFonts w:eastAsiaTheme="minorEastAsia"/>
        </w:rPr>
        <w:lastRenderedPageBreak/>
        <w:t>Type 2:  tests that the categorical variable has a specified distribution</w:t>
      </w:r>
    </w:p>
    <w:p w:rsidR="004367AF" w:rsidRDefault="004367AF" w:rsidP="000B6EEE">
      <w:pPr>
        <w:pStyle w:val="NoSpacing"/>
        <w:rPr>
          <w:rFonts w:eastAsiaTheme="minorEastAsia"/>
        </w:rPr>
      </w:pPr>
    </w:p>
    <w:p w:rsidR="004367AF" w:rsidRPr="00996EA5" w:rsidRDefault="004367AF" w:rsidP="004367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97627">
        <w:rPr>
          <w:szCs w:val="24"/>
        </w:rPr>
        <w:t>THE CHI-SQUARE TEST FOR GOODNESS OF FIT</w:t>
      </w:r>
      <w:r>
        <w:rPr>
          <w:szCs w:val="24"/>
        </w:rPr>
        <w:t xml:space="preserve">:  </w:t>
      </w:r>
      <w:r w:rsidRPr="00597627">
        <w:rPr>
          <w:szCs w:val="24"/>
        </w:rPr>
        <w:t xml:space="preserve">A </w:t>
      </w:r>
      <w:hyperlink r:id="rId8" w:history="1">
        <w:r w:rsidRPr="004367AF">
          <w:rPr>
            <w:szCs w:val="24"/>
          </w:rPr>
          <w:t>categorical variable</w:t>
        </w:r>
      </w:hyperlink>
      <w:r w:rsidRPr="00597627">
        <w:rPr>
          <w:szCs w:val="24"/>
        </w:rPr>
        <w:t xml:space="preserve"> has </w:t>
      </w:r>
      <w:r w:rsidRPr="00597627">
        <w:rPr>
          <w:i/>
          <w:iCs/>
          <w:szCs w:val="24"/>
        </w:rPr>
        <w:t>k</w:t>
      </w:r>
      <w:r w:rsidRPr="00597627">
        <w:rPr>
          <w:szCs w:val="24"/>
        </w:rPr>
        <w:t xml:space="preserve"> possible outcomes, with </w:t>
      </w:r>
      <w:hyperlink r:id="rId9" w:history="1">
        <w:r w:rsidRPr="004367AF">
          <w:rPr>
            <w:szCs w:val="24"/>
          </w:rPr>
          <w:t>probabilities</w:t>
        </w:r>
      </w:hyperlink>
      <w:r w:rsidRPr="00597627">
        <w:rPr>
          <w:szCs w:val="24"/>
        </w:rPr>
        <w:t xml:space="preserve"> </w:t>
      </w:r>
      <w:r w:rsidRPr="00597627">
        <w:rPr>
          <w:i/>
          <w:iCs/>
          <w:szCs w:val="24"/>
        </w:rPr>
        <w:t>p</w:t>
      </w:r>
      <w:r w:rsidRPr="00597627">
        <w:rPr>
          <w:szCs w:val="24"/>
          <w:vertAlign w:val="subscript"/>
        </w:rPr>
        <w:t>1</w:t>
      </w:r>
      <w:r w:rsidRPr="00597627">
        <w:rPr>
          <w:szCs w:val="24"/>
        </w:rPr>
        <w:t xml:space="preserve">, </w:t>
      </w:r>
      <w:r w:rsidRPr="00597627">
        <w:rPr>
          <w:i/>
          <w:iCs/>
          <w:szCs w:val="24"/>
        </w:rPr>
        <w:t>p</w:t>
      </w:r>
      <w:r w:rsidRPr="00597627">
        <w:rPr>
          <w:szCs w:val="24"/>
          <w:vertAlign w:val="subscript"/>
        </w:rPr>
        <w:t>2</w:t>
      </w:r>
      <w:r w:rsidRPr="00597627">
        <w:rPr>
          <w:szCs w:val="24"/>
        </w:rPr>
        <w:t xml:space="preserve">, </w:t>
      </w:r>
      <w:r w:rsidRPr="00597627">
        <w:rPr>
          <w:i/>
          <w:iCs/>
          <w:szCs w:val="24"/>
        </w:rPr>
        <w:t>p</w:t>
      </w:r>
      <w:r w:rsidRPr="00597627">
        <w:rPr>
          <w:szCs w:val="24"/>
          <w:vertAlign w:val="subscript"/>
        </w:rPr>
        <w:t>3</w:t>
      </w:r>
      <w:proofErr w:type="gramStart"/>
      <w:r w:rsidRPr="00597627">
        <w:rPr>
          <w:szCs w:val="24"/>
        </w:rPr>
        <w:t>,…,</w:t>
      </w:r>
      <w:proofErr w:type="gramEnd"/>
      <w:r w:rsidRPr="00597627">
        <w:rPr>
          <w:szCs w:val="24"/>
        </w:rPr>
        <w:t xml:space="preserve"> </w:t>
      </w:r>
      <w:r w:rsidRPr="00597627">
        <w:rPr>
          <w:i/>
          <w:iCs/>
          <w:szCs w:val="24"/>
        </w:rPr>
        <w:t>p</w:t>
      </w:r>
      <w:r w:rsidRPr="00597627">
        <w:rPr>
          <w:i/>
          <w:iCs/>
          <w:szCs w:val="24"/>
          <w:vertAlign w:val="subscript"/>
        </w:rPr>
        <w:t>k</w:t>
      </w:r>
      <w:r w:rsidRPr="00597627">
        <w:rPr>
          <w:szCs w:val="24"/>
        </w:rPr>
        <w:t xml:space="preserve">. That is, </w:t>
      </w:r>
      <w:r w:rsidRPr="00597627">
        <w:rPr>
          <w:i/>
          <w:iCs/>
          <w:szCs w:val="24"/>
        </w:rPr>
        <w:t>p</w:t>
      </w:r>
      <w:r w:rsidRPr="00597627">
        <w:rPr>
          <w:i/>
          <w:iCs/>
          <w:szCs w:val="24"/>
          <w:vertAlign w:val="subscript"/>
        </w:rPr>
        <w:t>i</w:t>
      </w:r>
      <w:r w:rsidRPr="00597627">
        <w:rPr>
          <w:szCs w:val="24"/>
        </w:rPr>
        <w:t xml:space="preserve"> is the </w:t>
      </w:r>
      <w:hyperlink r:id="rId10" w:history="1">
        <w:r w:rsidRPr="004367AF">
          <w:rPr>
            <w:szCs w:val="24"/>
          </w:rPr>
          <w:t>probability</w:t>
        </w:r>
      </w:hyperlink>
      <w:r w:rsidRPr="00597627">
        <w:rPr>
          <w:szCs w:val="24"/>
        </w:rPr>
        <w:t xml:space="preserve"> of the </w:t>
      </w:r>
      <w:proofErr w:type="spellStart"/>
      <w:r w:rsidRPr="00597627">
        <w:rPr>
          <w:i/>
          <w:iCs/>
          <w:szCs w:val="24"/>
        </w:rPr>
        <w:t>i</w:t>
      </w:r>
      <w:r w:rsidRPr="00597627">
        <w:rPr>
          <w:szCs w:val="24"/>
        </w:rPr>
        <w:t>th</w:t>
      </w:r>
      <w:proofErr w:type="spellEnd"/>
      <w:r w:rsidRPr="00597627">
        <w:rPr>
          <w:szCs w:val="24"/>
        </w:rPr>
        <w:t xml:space="preserve"> outcome. We have </w:t>
      </w:r>
      <w:r w:rsidRPr="00597627">
        <w:rPr>
          <w:i/>
          <w:iCs/>
          <w:szCs w:val="24"/>
        </w:rPr>
        <w:t>n</w:t>
      </w:r>
      <w:r w:rsidRPr="00597627">
        <w:rPr>
          <w:szCs w:val="24"/>
        </w:rPr>
        <w:t xml:space="preserve"> independent observations from this </w:t>
      </w:r>
      <w:hyperlink r:id="rId11" w:history="1">
        <w:r w:rsidRPr="004367AF">
          <w:rPr>
            <w:szCs w:val="24"/>
          </w:rPr>
          <w:t>categorical variable</w:t>
        </w:r>
      </w:hyperlink>
      <w:r w:rsidRPr="00597627">
        <w:rPr>
          <w:szCs w:val="24"/>
        </w:rPr>
        <w:t>.</w:t>
      </w:r>
      <w:r>
        <w:rPr>
          <w:szCs w:val="24"/>
        </w:rPr>
        <w:t xml:space="preserve"> </w:t>
      </w:r>
      <w:r w:rsidRPr="00597627">
        <w:rPr>
          <w:szCs w:val="24"/>
        </w:rPr>
        <w:t xml:space="preserve">To test the </w:t>
      </w:r>
      <w:hyperlink r:id="rId12" w:history="1">
        <w:r w:rsidRPr="004367AF">
          <w:rPr>
            <w:szCs w:val="24"/>
          </w:rPr>
          <w:t>null hypothesis</w:t>
        </w:r>
      </w:hyperlink>
      <w:r w:rsidRPr="004367AF">
        <w:rPr>
          <w:szCs w:val="24"/>
        </w:rPr>
        <w:t xml:space="preserve"> that the </w:t>
      </w:r>
      <w:hyperlink r:id="rId13" w:history="1">
        <w:r w:rsidRPr="004367AF">
          <w:rPr>
            <w:szCs w:val="24"/>
          </w:rPr>
          <w:t>probabilities</w:t>
        </w:r>
      </w:hyperlink>
      <w:r w:rsidRPr="00597627">
        <w:rPr>
          <w:szCs w:val="24"/>
        </w:rPr>
        <w:t xml:space="preserve"> have specified values</w:t>
      </w:r>
      <w:r>
        <w:rPr>
          <w:szCs w:val="24"/>
        </w:rPr>
        <w:t xml:space="preserve">   </w:t>
      </w:r>
      <w:r w:rsidRPr="00597627">
        <w:rPr>
          <w:i/>
          <w:iCs/>
          <w:szCs w:val="24"/>
        </w:rPr>
        <w:t>H</w:t>
      </w:r>
      <w:r w:rsidRPr="00597627">
        <w:rPr>
          <w:szCs w:val="24"/>
          <w:vertAlign w:val="subscript"/>
        </w:rPr>
        <w:t>0</w:t>
      </w:r>
      <w:r w:rsidRPr="00597627">
        <w:rPr>
          <w:szCs w:val="24"/>
        </w:rPr>
        <w:t xml:space="preserve">: </w:t>
      </w:r>
      <w:r w:rsidRPr="00597627">
        <w:rPr>
          <w:i/>
          <w:iCs/>
          <w:szCs w:val="24"/>
        </w:rPr>
        <w:t>p</w:t>
      </w:r>
      <w:r w:rsidRPr="00597627">
        <w:rPr>
          <w:szCs w:val="24"/>
          <w:vertAlign w:val="subscript"/>
        </w:rPr>
        <w:t>1</w:t>
      </w:r>
      <w:r w:rsidRPr="00597627">
        <w:rPr>
          <w:szCs w:val="24"/>
        </w:rPr>
        <w:t xml:space="preserve"> = </w:t>
      </w:r>
      <w:r w:rsidRPr="00597627">
        <w:rPr>
          <w:i/>
          <w:iCs/>
          <w:szCs w:val="24"/>
        </w:rPr>
        <w:t>p</w:t>
      </w:r>
      <w:r w:rsidRPr="00597627">
        <w:rPr>
          <w:szCs w:val="24"/>
          <w:vertAlign w:val="subscript"/>
        </w:rPr>
        <w:t>10</w:t>
      </w:r>
      <w:r w:rsidRPr="00597627">
        <w:rPr>
          <w:szCs w:val="24"/>
        </w:rPr>
        <w:t xml:space="preserve">, </w:t>
      </w:r>
      <w:r w:rsidRPr="00597627">
        <w:rPr>
          <w:i/>
          <w:iCs/>
          <w:szCs w:val="24"/>
        </w:rPr>
        <w:t>p</w:t>
      </w:r>
      <w:r w:rsidRPr="00597627">
        <w:rPr>
          <w:szCs w:val="24"/>
          <w:vertAlign w:val="subscript"/>
        </w:rPr>
        <w:t>2</w:t>
      </w:r>
      <w:r w:rsidRPr="00597627">
        <w:rPr>
          <w:szCs w:val="24"/>
        </w:rPr>
        <w:t xml:space="preserve"> = </w:t>
      </w:r>
      <w:r w:rsidRPr="00597627">
        <w:rPr>
          <w:i/>
          <w:iCs/>
          <w:szCs w:val="24"/>
        </w:rPr>
        <w:t>p</w:t>
      </w:r>
      <w:r w:rsidRPr="00597627">
        <w:rPr>
          <w:szCs w:val="24"/>
          <w:vertAlign w:val="subscript"/>
        </w:rPr>
        <w:t>20</w:t>
      </w:r>
      <w:proofErr w:type="gramStart"/>
      <w:r w:rsidRPr="00597627">
        <w:rPr>
          <w:szCs w:val="24"/>
        </w:rPr>
        <w:t>,…,</w:t>
      </w:r>
      <w:proofErr w:type="gramEnd"/>
      <w:r w:rsidRPr="00597627">
        <w:rPr>
          <w:szCs w:val="24"/>
        </w:rPr>
        <w:t xml:space="preserve"> </w:t>
      </w:r>
      <w:proofErr w:type="spellStart"/>
      <w:r w:rsidRPr="00597627">
        <w:rPr>
          <w:i/>
          <w:iCs/>
          <w:szCs w:val="24"/>
        </w:rPr>
        <w:t>p</w:t>
      </w:r>
      <w:r w:rsidRPr="00597627">
        <w:rPr>
          <w:i/>
          <w:iCs/>
          <w:szCs w:val="24"/>
          <w:vertAlign w:val="subscript"/>
        </w:rPr>
        <w:t>k</w:t>
      </w:r>
      <w:proofErr w:type="spellEnd"/>
      <w:r w:rsidRPr="00597627">
        <w:rPr>
          <w:szCs w:val="24"/>
        </w:rPr>
        <w:t xml:space="preserve"> = </w:t>
      </w:r>
      <w:r w:rsidRPr="00597627">
        <w:rPr>
          <w:i/>
          <w:iCs/>
          <w:szCs w:val="24"/>
        </w:rPr>
        <w:t>p</w:t>
      </w:r>
      <w:r w:rsidRPr="00597627">
        <w:rPr>
          <w:i/>
          <w:iCs/>
          <w:szCs w:val="24"/>
          <w:vertAlign w:val="subscript"/>
        </w:rPr>
        <w:t>k</w:t>
      </w:r>
      <w:r w:rsidRPr="00597627">
        <w:rPr>
          <w:szCs w:val="24"/>
          <w:vertAlign w:val="subscript"/>
        </w:rPr>
        <w:t>0</w:t>
      </w:r>
      <w:r>
        <w:rPr>
          <w:szCs w:val="24"/>
        </w:rPr>
        <w:t xml:space="preserve">   </w:t>
      </w:r>
      <w:r w:rsidRPr="00597627">
        <w:rPr>
          <w:szCs w:val="24"/>
        </w:rPr>
        <w:t xml:space="preserve">use the </w:t>
      </w:r>
      <w:hyperlink r:id="rId14" w:history="1">
        <w:r w:rsidRPr="00CD0E88">
          <w:rPr>
            <w:b/>
            <w:bCs/>
            <w:szCs w:val="24"/>
            <w:u w:val="single"/>
          </w:rPr>
          <w:t>chi-square statistic</w:t>
        </w:r>
      </w:hyperlink>
      <w:r>
        <w:rPr>
          <w:b/>
          <w:bCs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observed count-expected count)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expected count</m:t>
                </m:r>
              </m:den>
            </m:f>
          </m:e>
        </m:nary>
      </m:oMath>
    </w:p>
    <w:p w:rsidR="004367AF" w:rsidRDefault="004367AF" w:rsidP="004367AF">
      <w:pPr>
        <w:rPr>
          <w:rFonts w:eastAsia="Times New Roman"/>
          <w:szCs w:val="24"/>
        </w:rPr>
      </w:pPr>
      <w:r w:rsidRPr="00597627">
        <w:rPr>
          <w:rFonts w:eastAsia="Times New Roman"/>
          <w:szCs w:val="24"/>
        </w:rPr>
        <w:t xml:space="preserve">The </w:t>
      </w:r>
      <w:r w:rsidRPr="004367AF">
        <w:rPr>
          <w:rFonts w:eastAsia="Times New Roman"/>
          <w:i/>
          <w:iCs/>
          <w:szCs w:val="24"/>
        </w:rPr>
        <w:t>P</w:t>
      </w:r>
      <w:r w:rsidRPr="004367AF">
        <w:rPr>
          <w:rFonts w:eastAsia="Times New Roman"/>
          <w:szCs w:val="24"/>
        </w:rPr>
        <w:t>-value</w:t>
      </w:r>
      <w:r>
        <w:rPr>
          <w:rFonts w:eastAsia="Times New Roman"/>
          <w:color w:val="0000FF"/>
          <w:szCs w:val="24"/>
          <w:u w:val="single"/>
        </w:rPr>
        <w:t xml:space="preserve"> </w:t>
      </w:r>
      <w:r w:rsidRPr="00597627">
        <w:rPr>
          <w:rFonts w:eastAsia="Times New Roman"/>
          <w:szCs w:val="24"/>
        </w:rPr>
        <w:t>is the area to the right of χ</w:t>
      </w:r>
      <w:r w:rsidRPr="00597627">
        <w:rPr>
          <w:rFonts w:eastAsia="Times New Roman"/>
          <w:szCs w:val="24"/>
          <w:vertAlign w:val="superscript"/>
        </w:rPr>
        <w:t>2</w:t>
      </w:r>
      <w:r w:rsidRPr="00597627">
        <w:rPr>
          <w:rFonts w:eastAsia="Times New Roman"/>
          <w:szCs w:val="24"/>
        </w:rPr>
        <w:t xml:space="preserve"> under the </w:t>
      </w:r>
      <w:hyperlink r:id="rId15" w:history="1">
        <w:r w:rsidRPr="004367AF">
          <w:rPr>
            <w:rFonts w:eastAsia="Times New Roman"/>
            <w:szCs w:val="24"/>
          </w:rPr>
          <w:t>density curve</w:t>
        </w:r>
      </w:hyperlink>
      <w:r w:rsidRPr="00597627">
        <w:rPr>
          <w:rFonts w:eastAsia="Times New Roman"/>
          <w:szCs w:val="24"/>
        </w:rPr>
        <w:t xml:space="preserve"> of the chi-square </w:t>
      </w:r>
      <w:hyperlink r:id="rId16" w:history="1">
        <w:r w:rsidRPr="004367AF">
          <w:rPr>
            <w:rFonts w:eastAsia="Times New Roman"/>
            <w:szCs w:val="24"/>
          </w:rPr>
          <w:t>distribution</w:t>
        </w:r>
      </w:hyperlink>
      <w:r w:rsidRPr="00597627">
        <w:rPr>
          <w:rFonts w:eastAsia="Times New Roman"/>
          <w:szCs w:val="24"/>
        </w:rPr>
        <w:t xml:space="preserve"> with </w:t>
      </w:r>
      <w:r w:rsidRPr="00597627">
        <w:rPr>
          <w:rFonts w:eastAsia="Times New Roman"/>
          <w:i/>
          <w:iCs/>
          <w:szCs w:val="24"/>
        </w:rPr>
        <w:t>k</w:t>
      </w:r>
      <w:r w:rsidRPr="00597627">
        <w:rPr>
          <w:rFonts w:eastAsia="Times New Roman"/>
          <w:szCs w:val="24"/>
        </w:rPr>
        <w:t xml:space="preserve"> − 1 degrees of freedom.</w:t>
      </w:r>
    </w:p>
    <w:p w:rsidR="0077622F" w:rsidRDefault="00E450E1" w:rsidP="004367AF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Example:  Births are not evenly distributed across the days of the week.  Here is data on 700 births in the same locale: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869"/>
        <w:gridCol w:w="957"/>
        <w:gridCol w:w="955"/>
        <w:gridCol w:w="1269"/>
        <w:gridCol w:w="1038"/>
        <w:gridCol w:w="765"/>
        <w:gridCol w:w="1009"/>
      </w:tblGrid>
      <w:tr w:rsidR="00E450E1" w:rsidTr="00E450E1"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Day</w:t>
            </w:r>
          </w:p>
        </w:tc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Sunday</w:t>
            </w:r>
          </w:p>
        </w:tc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Monday</w:t>
            </w:r>
          </w:p>
        </w:tc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Tuesday</w:t>
            </w:r>
          </w:p>
        </w:tc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Wednesday</w:t>
            </w:r>
          </w:p>
        </w:tc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Thursday</w:t>
            </w:r>
          </w:p>
        </w:tc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Friday</w:t>
            </w:r>
          </w:p>
        </w:tc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Saturday</w:t>
            </w:r>
          </w:p>
        </w:tc>
      </w:tr>
      <w:tr w:rsidR="00E450E1" w:rsidTr="00E450E1">
        <w:tc>
          <w:tcPr>
            <w:tcW w:w="0" w:type="auto"/>
          </w:tcPr>
          <w:p w:rsidR="00E450E1" w:rsidRDefault="00E450E1" w:rsidP="00E450E1">
            <w:pPr>
              <w:pStyle w:val="NoSpacing"/>
            </w:pPr>
            <w:r>
              <w:t>Births</w:t>
            </w:r>
          </w:p>
        </w:tc>
        <w:tc>
          <w:tcPr>
            <w:tcW w:w="0" w:type="auto"/>
          </w:tcPr>
          <w:p w:rsidR="00E450E1" w:rsidRDefault="00172D00" w:rsidP="00E450E1">
            <w:pPr>
              <w:pStyle w:val="NoSpacing"/>
            </w:pPr>
            <w:r>
              <w:t xml:space="preserve">    84</w:t>
            </w:r>
          </w:p>
        </w:tc>
        <w:tc>
          <w:tcPr>
            <w:tcW w:w="0" w:type="auto"/>
          </w:tcPr>
          <w:p w:rsidR="00E450E1" w:rsidRDefault="00172D00" w:rsidP="00E450E1">
            <w:pPr>
              <w:pStyle w:val="NoSpacing"/>
            </w:pPr>
            <w:r>
              <w:t xml:space="preserve">     110</w:t>
            </w:r>
          </w:p>
        </w:tc>
        <w:tc>
          <w:tcPr>
            <w:tcW w:w="0" w:type="auto"/>
          </w:tcPr>
          <w:p w:rsidR="00E450E1" w:rsidRDefault="00172D00" w:rsidP="00E450E1">
            <w:pPr>
              <w:pStyle w:val="NoSpacing"/>
            </w:pPr>
            <w:r>
              <w:t xml:space="preserve">     124</w:t>
            </w:r>
          </w:p>
        </w:tc>
        <w:tc>
          <w:tcPr>
            <w:tcW w:w="0" w:type="auto"/>
          </w:tcPr>
          <w:p w:rsidR="00E450E1" w:rsidRDefault="00172D00" w:rsidP="00E450E1">
            <w:pPr>
              <w:pStyle w:val="NoSpacing"/>
            </w:pPr>
            <w:r>
              <w:t xml:space="preserve">        104</w:t>
            </w:r>
          </w:p>
        </w:tc>
        <w:tc>
          <w:tcPr>
            <w:tcW w:w="0" w:type="auto"/>
          </w:tcPr>
          <w:p w:rsidR="00E450E1" w:rsidRDefault="00172D00" w:rsidP="00E450E1">
            <w:pPr>
              <w:pStyle w:val="NoSpacing"/>
            </w:pPr>
            <w:r>
              <w:t xml:space="preserve">      94</w:t>
            </w:r>
          </w:p>
        </w:tc>
        <w:tc>
          <w:tcPr>
            <w:tcW w:w="0" w:type="auto"/>
          </w:tcPr>
          <w:p w:rsidR="00E450E1" w:rsidRDefault="00172D00" w:rsidP="00E450E1">
            <w:pPr>
              <w:pStyle w:val="NoSpacing"/>
            </w:pPr>
            <w:r>
              <w:t xml:space="preserve">    112</w:t>
            </w:r>
          </w:p>
        </w:tc>
        <w:tc>
          <w:tcPr>
            <w:tcW w:w="0" w:type="auto"/>
          </w:tcPr>
          <w:p w:rsidR="00E450E1" w:rsidRDefault="00172D00" w:rsidP="00E450E1">
            <w:pPr>
              <w:pStyle w:val="NoSpacing"/>
            </w:pPr>
            <w:r>
              <w:t xml:space="preserve">      72</w:t>
            </w:r>
          </w:p>
        </w:tc>
      </w:tr>
    </w:tbl>
    <w:p w:rsidR="00E450E1" w:rsidRDefault="00E450E1" w:rsidP="00E450E1">
      <w:pPr>
        <w:pStyle w:val="NoSpacing"/>
      </w:pPr>
    </w:p>
    <w:p w:rsidR="00172D00" w:rsidRDefault="009B2AED" w:rsidP="00E450E1">
      <w:pPr>
        <w:pStyle w:val="NoSpacing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</m:t>
        </m:r>
      </m:oMath>
      <w:r w:rsidR="00172D00">
        <w:t xml:space="preserve">  All days are equally probable 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172D00" w:rsidRDefault="009B2AED" w:rsidP="00E450E1">
      <w:pPr>
        <w:pStyle w:val="NoSpacing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:</m:t>
        </m:r>
      </m:oMath>
      <w:r w:rsidR="00172D0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≠…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172D00" w:rsidRDefault="00172D00" w:rsidP="00E450E1">
      <w:pPr>
        <w:pStyle w:val="NoSpacing"/>
        <w:rPr>
          <w:rFonts w:eastAsiaTheme="minorEastAsia"/>
        </w:rPr>
      </w:pPr>
    </w:p>
    <w:p w:rsidR="00172D00" w:rsidRDefault="00172D00" w:rsidP="00172D00">
      <w:pPr>
        <w:pStyle w:val="NoSpacing"/>
        <w:numPr>
          <w:ilvl w:val="0"/>
          <w:numId w:val="3"/>
        </w:numPr>
      </w:pPr>
      <w:r>
        <w:t xml:space="preserve"> What are the expected counts for each day of 700 births?</w:t>
      </w:r>
    </w:p>
    <w:p w:rsidR="00172D00" w:rsidRDefault="00172D00" w:rsidP="00172D00">
      <w:pPr>
        <w:pStyle w:val="NoSpacing"/>
        <w:numPr>
          <w:ilvl w:val="0"/>
          <w:numId w:val="3"/>
        </w:numPr>
      </w:pPr>
      <w:r>
        <w:t>Calculate the chi – squared statistic for goodness of fit</w:t>
      </w:r>
    </w:p>
    <w:p w:rsidR="00172D00" w:rsidRDefault="00172D00" w:rsidP="00172D00">
      <w:pPr>
        <w:pStyle w:val="NoSpacing"/>
        <w:numPr>
          <w:ilvl w:val="0"/>
          <w:numId w:val="3"/>
        </w:numPr>
      </w:pPr>
      <w:r>
        <w:t>What are the degrees of freedom for this statistic?  Do these 700 births give significant evidence that births are not equally probable on all days of the week?</w:t>
      </w:r>
    </w:p>
    <w:p w:rsidR="006213FF" w:rsidRDefault="006213FF" w:rsidP="006213FF">
      <w:pPr>
        <w:pStyle w:val="NoSpacing"/>
      </w:pPr>
    </w:p>
    <w:p w:rsidR="006213FF" w:rsidRDefault="006213FF" w:rsidP="006213FF">
      <w:pPr>
        <w:pStyle w:val="NoSpacing"/>
      </w:pPr>
      <w:r>
        <w:t xml:space="preserve">This test can also be done using your calculator under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35713">
        <w:rPr>
          <w:rFonts w:eastAsiaTheme="minorEastAsia"/>
        </w:rPr>
        <w:t xml:space="preserve"> GOF – Test.  </w:t>
      </w:r>
    </w:p>
    <w:p w:rsidR="002A0ADD" w:rsidRDefault="002A0ADD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Default="00280F07" w:rsidP="002A0ADD">
      <w:pPr>
        <w:pStyle w:val="NoSpacing"/>
      </w:pPr>
    </w:p>
    <w:p w:rsidR="00280F07" w:rsidRPr="00280F07" w:rsidRDefault="00280F07" w:rsidP="002A0ADD">
      <w:pPr>
        <w:pStyle w:val="NoSpacing"/>
      </w:pPr>
    </w:p>
    <w:p w:rsidR="002A0ADD" w:rsidRPr="00B03995" w:rsidRDefault="009B2AED" w:rsidP="002A0ADD">
      <w:pPr>
        <w:pStyle w:val="NoSpacing"/>
        <w:rPr>
          <w:b/>
        </w:rPr>
      </w:pPr>
      <w:hyperlink r:id="rId17" w:history="1">
        <w:r w:rsidR="002A0ADD" w:rsidRPr="00BA6927">
          <w:rPr>
            <w:b/>
            <w:bCs/>
          </w:rPr>
          <w:t>Is astrology scientific</w:t>
        </w:r>
        <w:r w:rsidR="002A0ADD" w:rsidRPr="002A0ADD">
          <w:rPr>
            <w:bCs/>
          </w:rPr>
          <w:t>?</w:t>
        </w:r>
      </w:hyperlink>
      <w:r w:rsidR="002A0ADD" w:rsidRPr="00B03995">
        <w:t xml:space="preserve"> The General Social Survey asked a random</w:t>
      </w:r>
      <w:r w:rsidR="002A0ADD" w:rsidRPr="002A0ADD">
        <w:t xml:space="preserve"> </w:t>
      </w:r>
      <w:hyperlink r:id="rId18" w:history="1">
        <w:r w:rsidR="002A0ADD" w:rsidRPr="002A0ADD">
          <w:t>sample</w:t>
        </w:r>
      </w:hyperlink>
      <w:r w:rsidR="002A0ADD" w:rsidRPr="00B03995">
        <w:t xml:space="preserve"> of adults about their education and about their view of astrology as scientific or not. Here are the data for people with three levels of higher education:</w:t>
      </w:r>
    </w:p>
    <w:p w:rsidR="00280F07" w:rsidRDefault="002A0ADD" w:rsidP="002A0ADD">
      <w:r>
        <w:rPr>
          <w:rFonts w:eastAsia="Times New Roman"/>
          <w:b/>
          <w:noProof/>
          <w:szCs w:val="24"/>
        </w:rPr>
        <w:drawing>
          <wp:inline distT="0" distB="0" distL="0" distR="0">
            <wp:extent cx="3714750" cy="742950"/>
            <wp:effectExtent l="19050" t="0" r="0" b="0"/>
            <wp:docPr id="4" name="Picture 4" descr="http://ebooks.bfwpub.com/bps5e/tables/22_T_UN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books.bfwpub.com/bps5e/tables/22_T_UN_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DD" w:rsidRDefault="002A0ADD" w:rsidP="002A0ADD">
      <w:pPr>
        <w:rPr>
          <w:rFonts w:eastAsia="Times New Roman"/>
          <w:b/>
          <w:szCs w:val="24"/>
        </w:rPr>
      </w:pPr>
      <w:r w:rsidRPr="00B03995">
        <w:rPr>
          <w:rFonts w:eastAsia="Times New Roman"/>
          <w:szCs w:val="24"/>
        </w:rPr>
        <w:t xml:space="preserve"> Follow the </w:t>
      </w:r>
      <w:r w:rsidRPr="00B03995">
        <w:rPr>
          <w:rFonts w:eastAsia="Times New Roman"/>
          <w:i/>
          <w:iCs/>
          <w:szCs w:val="24"/>
        </w:rPr>
        <w:t>Plan, Solve,</w:t>
      </w:r>
      <w:r w:rsidRPr="00B03995">
        <w:rPr>
          <w:rFonts w:eastAsia="Times New Roman"/>
          <w:szCs w:val="24"/>
        </w:rPr>
        <w:t xml:space="preserve"> and </w:t>
      </w:r>
      <w:r w:rsidRPr="00B03995">
        <w:rPr>
          <w:rFonts w:eastAsia="Times New Roman"/>
          <w:i/>
          <w:iCs/>
          <w:szCs w:val="24"/>
        </w:rPr>
        <w:t>Conclude</w:t>
      </w:r>
      <w:r w:rsidRPr="00B03995">
        <w:rPr>
          <w:rFonts w:eastAsia="Times New Roman"/>
          <w:szCs w:val="24"/>
        </w:rPr>
        <w:t xml:space="preserve"> steps of the four-step </w:t>
      </w:r>
      <w:hyperlink r:id="rId20" w:history="1">
        <w:r w:rsidRPr="002A0ADD">
          <w:rPr>
            <w:rFonts w:eastAsia="Times New Roman"/>
            <w:szCs w:val="24"/>
          </w:rPr>
          <w:t>process</w:t>
        </w:r>
      </w:hyperlink>
      <w:r w:rsidRPr="00B03995">
        <w:rPr>
          <w:rFonts w:eastAsia="Times New Roman"/>
          <w:szCs w:val="24"/>
        </w:rPr>
        <w:t xml:space="preserve"> in usi</w:t>
      </w:r>
      <w:r w:rsidR="00280F07">
        <w:rPr>
          <w:rFonts w:eastAsia="Times New Roman"/>
          <w:szCs w:val="24"/>
        </w:rPr>
        <w:t>ng the information</w:t>
      </w:r>
      <w:r w:rsidRPr="00B03995">
        <w:rPr>
          <w:rFonts w:eastAsia="Times New Roman"/>
          <w:szCs w:val="24"/>
        </w:rPr>
        <w:t xml:space="preserve"> to describe how people with these levels of education differ in their opinions about astrology. Be sure that your </w:t>
      </w:r>
      <w:r w:rsidRPr="00B03995">
        <w:rPr>
          <w:rFonts w:eastAsia="Times New Roman"/>
          <w:i/>
          <w:iCs/>
          <w:szCs w:val="24"/>
        </w:rPr>
        <w:t>Solve</w:t>
      </w:r>
      <w:r w:rsidRPr="00B03995">
        <w:rPr>
          <w:rFonts w:eastAsia="Times New Roman"/>
          <w:szCs w:val="24"/>
        </w:rPr>
        <w:t xml:space="preserve"> step includes data analysis and checking conditions for inference as well as a formal test.</w:t>
      </w:r>
    </w:p>
    <w:p w:rsidR="002A0ADD" w:rsidRPr="00597627" w:rsidRDefault="002A0ADD" w:rsidP="002A0ADD">
      <w:pPr>
        <w:pStyle w:val="NoSpacing"/>
      </w:pPr>
    </w:p>
    <w:sectPr w:rsidR="002A0ADD" w:rsidRPr="00597627" w:rsidSect="0059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ED" w:rsidRDefault="009B2AED" w:rsidP="004367AF">
      <w:pPr>
        <w:spacing w:after="0" w:line="240" w:lineRule="auto"/>
      </w:pPr>
      <w:r>
        <w:separator/>
      </w:r>
    </w:p>
  </w:endnote>
  <w:endnote w:type="continuationSeparator" w:id="0">
    <w:p w:rsidR="009B2AED" w:rsidRDefault="009B2AED" w:rsidP="0043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ED" w:rsidRDefault="009B2AED" w:rsidP="004367AF">
      <w:pPr>
        <w:spacing w:after="0" w:line="240" w:lineRule="auto"/>
      </w:pPr>
      <w:r>
        <w:separator/>
      </w:r>
    </w:p>
  </w:footnote>
  <w:footnote w:type="continuationSeparator" w:id="0">
    <w:p w:rsidR="009B2AED" w:rsidRDefault="009B2AED" w:rsidP="0043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5BE"/>
    <w:multiLevelType w:val="hybridMultilevel"/>
    <w:tmpl w:val="8EF6D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70371"/>
    <w:multiLevelType w:val="hybridMultilevel"/>
    <w:tmpl w:val="19763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05A86"/>
    <w:multiLevelType w:val="hybridMultilevel"/>
    <w:tmpl w:val="0D38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EEE"/>
    <w:rsid w:val="00014DE6"/>
    <w:rsid w:val="000943D3"/>
    <w:rsid w:val="000B6EEE"/>
    <w:rsid w:val="000E537B"/>
    <w:rsid w:val="00122CE3"/>
    <w:rsid w:val="00171B90"/>
    <w:rsid w:val="00172D00"/>
    <w:rsid w:val="00183900"/>
    <w:rsid w:val="001A14BA"/>
    <w:rsid w:val="001D4541"/>
    <w:rsid w:val="001E6B06"/>
    <w:rsid w:val="00215619"/>
    <w:rsid w:val="00280F07"/>
    <w:rsid w:val="002A0ADD"/>
    <w:rsid w:val="002D10AE"/>
    <w:rsid w:val="00315680"/>
    <w:rsid w:val="00315CF9"/>
    <w:rsid w:val="003734ED"/>
    <w:rsid w:val="00385295"/>
    <w:rsid w:val="003B6A68"/>
    <w:rsid w:val="003D0C4E"/>
    <w:rsid w:val="003D1607"/>
    <w:rsid w:val="00422A8F"/>
    <w:rsid w:val="004367AF"/>
    <w:rsid w:val="00475302"/>
    <w:rsid w:val="00535713"/>
    <w:rsid w:val="00584D32"/>
    <w:rsid w:val="005863A2"/>
    <w:rsid w:val="00596BCF"/>
    <w:rsid w:val="00596D38"/>
    <w:rsid w:val="005E1049"/>
    <w:rsid w:val="00611A9C"/>
    <w:rsid w:val="006213FF"/>
    <w:rsid w:val="0062303B"/>
    <w:rsid w:val="00642581"/>
    <w:rsid w:val="00655CDA"/>
    <w:rsid w:val="006C2EB3"/>
    <w:rsid w:val="00704374"/>
    <w:rsid w:val="0071712C"/>
    <w:rsid w:val="0077622F"/>
    <w:rsid w:val="00795518"/>
    <w:rsid w:val="007B0F9B"/>
    <w:rsid w:val="0082040E"/>
    <w:rsid w:val="009626E9"/>
    <w:rsid w:val="009B2AED"/>
    <w:rsid w:val="009E06CB"/>
    <w:rsid w:val="009E12B6"/>
    <w:rsid w:val="00A14AEA"/>
    <w:rsid w:val="00A44D4A"/>
    <w:rsid w:val="00A5637C"/>
    <w:rsid w:val="00AB6703"/>
    <w:rsid w:val="00B96F7B"/>
    <w:rsid w:val="00BA6927"/>
    <w:rsid w:val="00CA00A8"/>
    <w:rsid w:val="00CD0E88"/>
    <w:rsid w:val="00D0280B"/>
    <w:rsid w:val="00D70175"/>
    <w:rsid w:val="00D91E29"/>
    <w:rsid w:val="00E0433C"/>
    <w:rsid w:val="00E450E1"/>
    <w:rsid w:val="00E5603B"/>
    <w:rsid w:val="00E95C19"/>
    <w:rsid w:val="00EB4130"/>
    <w:rsid w:val="00F31953"/>
    <w:rsid w:val="00F4307F"/>
    <w:rsid w:val="00F95490"/>
    <w:rsid w:val="00F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EE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15C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D4A"/>
    <w:pPr>
      <w:ind w:left="36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3D1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op.Define('categoricalvariable')" TargetMode="External"/><Relationship Id="rId13" Type="http://schemas.openxmlformats.org/officeDocument/2006/relationships/hyperlink" Target="JavaScript:top.Define('probability')" TargetMode="External"/><Relationship Id="rId18" Type="http://schemas.openxmlformats.org/officeDocument/2006/relationships/hyperlink" Target="JavaScript:top.Define('sample')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top.Define('nullhypothesis')" TargetMode="External"/><Relationship Id="rId17" Type="http://schemas.openxmlformats.org/officeDocument/2006/relationships/hyperlink" Target="javascript:top.OpenSupp('exercise','22',9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top.Define('distribution')" TargetMode="External"/><Relationship Id="rId20" Type="http://schemas.openxmlformats.org/officeDocument/2006/relationships/hyperlink" Target="JavaScript:top.Define('process'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top.Define('categoricalvariable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top.Define('densitycurve')" TargetMode="External"/><Relationship Id="rId10" Type="http://schemas.openxmlformats.org/officeDocument/2006/relationships/hyperlink" Target="JavaScript:top.Define('probability')" TargetMode="External"/><Relationship Id="rId19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JavaScript:top.Define('probability')" TargetMode="External"/><Relationship Id="rId14" Type="http://schemas.openxmlformats.org/officeDocument/2006/relationships/hyperlink" Target="JavaScript:top.Define('chisquarestatistic'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Department</dc:creator>
  <cp:keywords/>
  <dc:description/>
  <cp:lastModifiedBy>math</cp:lastModifiedBy>
  <cp:revision>37</cp:revision>
  <cp:lastPrinted>2012-04-25T20:40:00Z</cp:lastPrinted>
  <dcterms:created xsi:type="dcterms:W3CDTF">2012-04-24T16:56:00Z</dcterms:created>
  <dcterms:modified xsi:type="dcterms:W3CDTF">2016-11-18T19:10:00Z</dcterms:modified>
</cp:coreProperties>
</file>